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2D0FC" w14:textId="72364D3F" w:rsidR="00AD4769" w:rsidRPr="00AD4769" w:rsidRDefault="00AD4769" w:rsidP="00AD4769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приниження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висміювання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псування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особистих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речей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коментарі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погрозами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мережах – усе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прояви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школярів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Дитячий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з'являється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причин.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найпоширеніших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кривдника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самоствердитися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слабших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приниження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школярів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батьки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для того,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протидіяти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помічати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найперші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прояви!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Спостережливість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врятувати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тілесних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моральних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травм, а й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цілому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відбивається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фізичному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психоемоційному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школярів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розберімося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сутністю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видами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способами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англ.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Bullying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залякування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з'явилося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XX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столітті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сучасного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набуло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відносно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нещодавно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норвезькому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професорові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Ольвеусу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(автор книги «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»).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агресивна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вкрай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неприємна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супроводжується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постійним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фізичним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психологічним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впливом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фізичний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жертви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поштовхи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стусани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домагання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вербальний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погрози,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насмішки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приниження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соціально-психологічний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спрямований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соціальне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виключення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ізоляцію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плітки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чутки,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ігнорування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бойкот,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непристойні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шантаж,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маніпуляції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економічний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грошей,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відбирання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речей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псування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крадіжки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кібербулінг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розповсюдження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пліток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неправдивої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зламування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особистих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сторінок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негативних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коментарів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сексуальний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сексуального характеру,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принизливі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 та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образливі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чутки,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фільмування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роздягальні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погрози сексуального характеру.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Як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спостерігачі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агресор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кривдник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 жертва)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найважча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завдається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жертві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постраждалого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проявляються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психосоматичні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розлади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сном та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апетитом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загострюватися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хронічні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того ж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жертви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страждають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депресивних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розладів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підвищений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тривожності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занижену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невротичні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прояви.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як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триває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то й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спостерігаючи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класом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кривдник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спостерігачі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жертва). 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Зауважте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Інколи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спостерігачі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повідомляють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учителю про прояви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підтримують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булера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Існують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взагалі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друзів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боїться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заходах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однолітками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втрачає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погано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вчитися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/не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іспити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приходить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додому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сумна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сльозах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втрачає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апетит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тривожною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мережах,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зламані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окуляри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знущання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жертви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розірвані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зошити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підручники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знущання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Причини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Причина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мети, яку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переслідує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кривдник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булер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самостверджується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Масив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телевізору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агресивні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спонукати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деструктивної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Окрім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причиною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булера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свідком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надалі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переносить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 на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зміг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впоратися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дитячою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травмою.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Як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вчителям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свідком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агресором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кривднику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неприйнятна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призвести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серйозних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Педагог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булеру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відчуває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фізичного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покращення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взаємин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класному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непоодинокі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педагог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цькуванню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спеціалістів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директора,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шкільних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психологів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Найкращий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цькуванням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профілактика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виховних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годинах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розповідати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Окрім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педагог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вихованцями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дивитися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фільми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дискусії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побаченого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Як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батькам?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Перший і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найголовніший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для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стала жертвою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провини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Батьки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не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тому,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зазнала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Варто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батьки на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боці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на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кшталт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«Добре,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розповів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/-ла! Я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вірю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винен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не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тому,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трапилося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Батьки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набути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впевненості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протистояти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нападкам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однолітків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кібербулінгу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батьки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заблокувати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агресора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кривдник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зберігає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анонімність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видрукувати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листування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скріншоти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сторінок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фотографіями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віднести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правоохоронні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юридичної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батьки не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прийти до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кривдником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ініціювати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школу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психолога.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Інакше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судовий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залякування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чужої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класним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педагогами та батьками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кривдника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ситуацію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розв'язанні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консультацією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«Ла Страда –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 номером 0 800 500 225 – для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стаціонарного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телефону (116 111 – для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мобільного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УВАГА!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йдеться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фізичне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повідомити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поліцію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радять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юридичною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консультацією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єдиний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контакт-центр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юридичної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номером 0 800 213 103 (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цілодобово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жертві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лінію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за номером 116 111 (для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дзвінків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мобільного</w:t>
      </w:r>
      <w:proofErr w:type="spellEnd"/>
      <w:r w:rsidRPr="00AD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69ADDD3" w14:textId="77777777" w:rsidR="00BE5C21" w:rsidRPr="00AD4769" w:rsidRDefault="00BE5C21" w:rsidP="00AD4769">
      <w:pPr>
        <w:rPr>
          <w:rFonts w:ascii="Times New Roman" w:hAnsi="Times New Roman" w:cs="Times New Roman"/>
          <w:sz w:val="28"/>
          <w:szCs w:val="28"/>
        </w:rPr>
      </w:pPr>
    </w:p>
    <w:sectPr w:rsidR="00BE5C21" w:rsidRPr="00AD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48"/>
    <w:rsid w:val="003C0948"/>
    <w:rsid w:val="00AD4769"/>
    <w:rsid w:val="00B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53E5"/>
  <w15:chartTrackingRefBased/>
  <w15:docId w15:val="{442986E2-2314-455B-A039-754D745E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messagedate">
    <w:name w:val="im_message_date"/>
    <w:basedOn w:val="a0"/>
    <w:rsid w:val="00AD4769"/>
  </w:style>
  <w:style w:type="character" w:customStyle="1" w:styleId="immessageedited">
    <w:name w:val="im_message_edited"/>
    <w:basedOn w:val="a0"/>
    <w:rsid w:val="00AD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2999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3410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798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029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0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5406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5720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Вегера Родіон Ігорович</dc:creator>
  <cp:keywords/>
  <dc:description/>
  <cp:lastModifiedBy>Вегера Родіон Ігорович</cp:lastModifiedBy>
  <cp:revision>3</cp:revision>
  <dcterms:created xsi:type="dcterms:W3CDTF">2021-02-17T19:17:00Z</dcterms:created>
  <dcterms:modified xsi:type="dcterms:W3CDTF">2021-02-17T19:27:00Z</dcterms:modified>
</cp:coreProperties>
</file>